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55" w:rsidRPr="002E5B54" w:rsidRDefault="00F045C6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>Trivis - Střední škola veřejnoprávní a Vyšší odborná škola prevence kriminality a krizového řízení 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Hovorčovická 1281/11 , 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F045C6" w:rsidRDefault="000E3955" w:rsidP="000E3955">
      <w:pPr>
        <w:pBdr>
          <w:bottom w:val="single" w:sz="6" w:space="1" w:color="auto"/>
        </w:pBdr>
        <w:rPr>
          <w:i/>
          <w:color w:val="3366FF"/>
        </w:rPr>
      </w:pPr>
      <w:r w:rsidRPr="00F045C6">
        <w:rPr>
          <w:i/>
          <w:color w:val="3366FF"/>
        </w:rPr>
        <w:t>Tel.: 283 910 398</w:t>
      </w:r>
      <w:r w:rsidRPr="00F045C6">
        <w:rPr>
          <w:b/>
          <w:i/>
          <w:color w:val="3366FF"/>
        </w:rPr>
        <w:t xml:space="preserve"> </w:t>
      </w:r>
      <w:r w:rsidRPr="00F045C6">
        <w:rPr>
          <w:b/>
          <w:i/>
          <w:color w:val="3366FF"/>
        </w:rPr>
        <w:tab/>
      </w:r>
      <w:r w:rsidR="00F045C6" w:rsidRPr="00F045C6">
        <w:rPr>
          <w:b/>
          <w:i/>
          <w:color w:val="3366FF"/>
        </w:rPr>
        <w:t xml:space="preserve">  </w:t>
      </w:r>
      <w:r w:rsidR="004A0BB3" w:rsidRPr="00F045C6">
        <w:rPr>
          <w:b/>
          <w:i/>
          <w:color w:val="3366FF"/>
        </w:rPr>
        <w:t xml:space="preserve">  </w:t>
      </w:r>
      <w:r w:rsidRPr="00F045C6">
        <w:rPr>
          <w:b/>
          <w:i/>
          <w:color w:val="3366FF"/>
        </w:rPr>
        <w:t xml:space="preserve"> </w:t>
      </w:r>
      <w:hyperlink r:id="rId9" w:history="1">
        <w:r w:rsidRPr="00F045C6">
          <w:rPr>
            <w:i/>
            <w:color w:val="3366FF"/>
          </w:rPr>
          <w:t>www.trivispraha.cz</w:t>
        </w:r>
      </w:hyperlink>
      <w:r w:rsidRPr="00F045C6">
        <w:rPr>
          <w:i/>
          <w:color w:val="3366FF"/>
        </w:rPr>
        <w:t xml:space="preserve"> </w:t>
      </w:r>
      <w:r w:rsidR="004A0BB3" w:rsidRPr="00F045C6">
        <w:rPr>
          <w:i/>
          <w:color w:val="3366FF"/>
        </w:rPr>
        <w:t xml:space="preserve">   </w:t>
      </w:r>
      <w:r w:rsidR="00F045C6" w:rsidRPr="00F045C6">
        <w:rPr>
          <w:i/>
          <w:color w:val="3366FF"/>
        </w:rPr>
        <w:t xml:space="preserve">     </w:t>
      </w:r>
      <w:r w:rsidR="004A0BB3" w:rsidRPr="00F045C6">
        <w:rPr>
          <w:i/>
          <w:color w:val="3366FF"/>
        </w:rPr>
        <w:t xml:space="preserve">    </w:t>
      </w:r>
      <w:r w:rsidRPr="00F045C6">
        <w:rPr>
          <w:i/>
          <w:color w:val="3366FF"/>
        </w:rPr>
        <w:t xml:space="preserve">e-mail: </w:t>
      </w:r>
      <w:r w:rsidR="003B74B9">
        <w:rPr>
          <w:i/>
          <w:color w:val="3366FF"/>
        </w:rPr>
        <w:t>praha</w:t>
      </w:r>
      <w:r w:rsidRPr="00F045C6">
        <w:rPr>
          <w:i/>
          <w:color w:val="3366FF"/>
        </w:rPr>
        <w:t>@trivis.cz</w:t>
      </w:r>
      <w:r w:rsidRPr="00F045C6">
        <w:rPr>
          <w:b/>
          <w:i/>
          <w:color w:val="3366FF"/>
        </w:rPr>
        <w:tab/>
        <w:t xml:space="preserve">               </w:t>
      </w:r>
      <w:r w:rsidRPr="00F045C6">
        <w:rPr>
          <w:i/>
          <w:color w:val="3366FF"/>
        </w:rPr>
        <w:t>IČO 25109138</w:t>
      </w:r>
    </w:p>
    <w:p w:rsidR="00A85D51" w:rsidRDefault="00A85D51" w:rsidP="00233463">
      <w:pPr>
        <w:jc w:val="center"/>
        <w:rPr>
          <w:b/>
        </w:rPr>
      </w:pPr>
    </w:p>
    <w:p w:rsidR="00A85D51" w:rsidRDefault="00A85D51" w:rsidP="00233463">
      <w:pPr>
        <w:jc w:val="center"/>
        <w:rPr>
          <w:b/>
        </w:rPr>
      </w:pPr>
    </w:p>
    <w:p w:rsidR="00A85D51" w:rsidRDefault="00A85D51" w:rsidP="00A85D51">
      <w:pPr>
        <w:rPr>
          <w:b/>
        </w:rPr>
      </w:pPr>
    </w:p>
    <w:p w:rsidR="00A85D51" w:rsidRDefault="00FF15B3" w:rsidP="00FF15B3">
      <w:pPr>
        <w:jc w:val="center"/>
        <w:rPr>
          <w:rStyle w:val="Odkazintenzivn"/>
          <w:sz w:val="36"/>
          <w:szCs w:val="36"/>
        </w:rPr>
      </w:pPr>
      <w:r w:rsidRPr="00FF15B3">
        <w:rPr>
          <w:rStyle w:val="Odkazintenzivn"/>
          <w:sz w:val="36"/>
          <w:szCs w:val="36"/>
        </w:rPr>
        <w:t xml:space="preserve">MATURITNÍ OKRUHY – </w:t>
      </w:r>
      <w:r w:rsidR="00303A97">
        <w:rPr>
          <w:rStyle w:val="Odkazintenzivn"/>
          <w:sz w:val="36"/>
          <w:szCs w:val="36"/>
        </w:rPr>
        <w:t>PRÁVO</w:t>
      </w:r>
    </w:p>
    <w:p w:rsidR="00FF15B3" w:rsidRPr="00FF15B3" w:rsidRDefault="00FF15B3" w:rsidP="00FF15B3">
      <w:pPr>
        <w:jc w:val="center"/>
        <w:rPr>
          <w:rStyle w:val="Odkazintenzivn"/>
          <w:sz w:val="36"/>
          <w:szCs w:val="36"/>
        </w:rPr>
      </w:pPr>
    </w:p>
    <w:p w:rsidR="00FF15B3" w:rsidRPr="006D6AAA" w:rsidRDefault="006D6AAA" w:rsidP="00FF15B3">
      <w:pPr>
        <w:jc w:val="both"/>
        <w:rPr>
          <w:b/>
          <w:sz w:val="24"/>
          <w:szCs w:val="24"/>
        </w:rPr>
      </w:pPr>
      <w:r w:rsidRPr="006D6AAA">
        <w:rPr>
          <w:b/>
          <w:sz w:val="24"/>
          <w:szCs w:val="24"/>
        </w:rPr>
        <w:t>TEORIE PRÁVA</w:t>
      </w:r>
    </w:p>
    <w:p w:rsidR="006D6AAA" w:rsidRPr="006D6AAA" w:rsidRDefault="006D6AAA" w:rsidP="006D6AAA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akty aplikace práva – charakteristika, klasifikace, právní moc, vykonatelnost</w:t>
      </w:r>
    </w:p>
    <w:p w:rsidR="006D6AAA" w:rsidRPr="006D6AAA" w:rsidRDefault="006D6AAA" w:rsidP="006D6AAA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prameny práva ČR – pojem druhy normativních právních aktů (NPA) a jejich charakteristika, platnost a účinnost NPA</w:t>
      </w:r>
    </w:p>
    <w:p w:rsidR="006D6AAA" w:rsidRPr="006D6AAA" w:rsidRDefault="006D6AAA" w:rsidP="006D6AAA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právní normy – pojem, vnitřní struktura, druhy právních norem, působnost právních norem</w:t>
      </w:r>
    </w:p>
    <w:p w:rsidR="006D6AAA" w:rsidRDefault="006D6AAA" w:rsidP="006D6AAA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právní vztah, prvky právních vztahů a jejich charakteristika</w:t>
      </w:r>
    </w:p>
    <w:p w:rsidR="006D6AAA" w:rsidRDefault="006D6AAA" w:rsidP="006D6AAA">
      <w:pPr>
        <w:spacing w:line="276" w:lineRule="auto"/>
        <w:jc w:val="both"/>
        <w:rPr>
          <w:sz w:val="24"/>
          <w:szCs w:val="24"/>
        </w:rPr>
      </w:pPr>
    </w:p>
    <w:p w:rsidR="006D6AAA" w:rsidRPr="006D6AAA" w:rsidRDefault="006D6AAA" w:rsidP="006D6AAA">
      <w:pPr>
        <w:spacing w:line="276" w:lineRule="auto"/>
        <w:jc w:val="both"/>
        <w:rPr>
          <w:b/>
          <w:sz w:val="24"/>
          <w:szCs w:val="24"/>
        </w:rPr>
      </w:pPr>
      <w:r w:rsidRPr="006D6AAA">
        <w:rPr>
          <w:b/>
          <w:sz w:val="24"/>
          <w:szCs w:val="24"/>
        </w:rPr>
        <w:t>ÚSTAVNÍ PRÁVO</w:t>
      </w:r>
    </w:p>
    <w:p w:rsidR="006D6AAA" w:rsidRPr="006D6AAA" w:rsidRDefault="006D6AAA" w:rsidP="006D6AAA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listina základních práva svobod – význam, charakteristika, systematika (podrobně rozebrat hlavu pátou – právo na soudní a jinou právní ochranu)</w:t>
      </w:r>
    </w:p>
    <w:p w:rsidR="006D6AAA" w:rsidRPr="006D6AAA" w:rsidRDefault="006D6AAA" w:rsidP="006D6AAA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moc soudní dle Ústavy ČR (soudy, Ústavní soud)</w:t>
      </w:r>
    </w:p>
    <w:p w:rsidR="006D6AAA" w:rsidRPr="006D6AAA" w:rsidRDefault="006D6AAA" w:rsidP="006D6AAA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moc výkonná dle Ústavy ČR</w:t>
      </w:r>
    </w:p>
    <w:p w:rsidR="006D6AAA" w:rsidRDefault="006D6AAA" w:rsidP="006D6AAA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moc zákonodárná dle Ústavy ČR</w:t>
      </w:r>
    </w:p>
    <w:p w:rsidR="006D6AAA" w:rsidRDefault="006D6AAA" w:rsidP="006D6AAA">
      <w:pPr>
        <w:spacing w:line="276" w:lineRule="auto"/>
        <w:jc w:val="both"/>
        <w:rPr>
          <w:sz w:val="24"/>
          <w:szCs w:val="24"/>
        </w:rPr>
      </w:pPr>
    </w:p>
    <w:p w:rsidR="006D6AAA" w:rsidRPr="00502385" w:rsidRDefault="006D6AAA" w:rsidP="006D6AAA">
      <w:pPr>
        <w:spacing w:line="276" w:lineRule="auto"/>
        <w:jc w:val="both"/>
        <w:rPr>
          <w:b/>
          <w:sz w:val="24"/>
          <w:szCs w:val="24"/>
        </w:rPr>
      </w:pPr>
      <w:r w:rsidRPr="00502385">
        <w:rPr>
          <w:b/>
          <w:sz w:val="24"/>
          <w:szCs w:val="24"/>
        </w:rPr>
        <w:t>OBČANSKÉ PRÁVO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koupě a dílo – charakteristika a nezbytné náležitosti dle občanského zákoníku, některé další smluvní typy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občanskoprávní odpovědnost za škodu – charakteristika, vymezení pojmu škoda, předpoklady vzniku odpovědnosti za škodu, druhy odpovědnosti (podrobněji vysvětlit odpovědnost za škodu způsobenou na vnesených a odložených věcech)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právo dědické – jeho charakteristika, dědické titulu, řízení o dědictví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spoluvlastnictví – charakteristika, způsoby vzniku a zániku, spoluvlastnický podíl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věcná práva k věcem cizím – charakteristika a účel těchto práv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vlastnické právo – charakteristika, obsah, způsoby nabývání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výkon rozhodnutí v civilním procesu – charakteristika, způsoby výkonu peněžité plnění, nepeněžité plnění)</w:t>
      </w:r>
    </w:p>
    <w:p w:rsid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závazkové právo – charakteristika, vysvětlení základních pojmů, způsoby vzniku závazků a možnosti jejich zajištění</w:t>
      </w:r>
    </w:p>
    <w:p w:rsidR="00502385" w:rsidRDefault="00502385" w:rsidP="00502385">
      <w:pPr>
        <w:spacing w:line="276" w:lineRule="auto"/>
        <w:jc w:val="both"/>
        <w:rPr>
          <w:sz w:val="24"/>
          <w:szCs w:val="24"/>
        </w:rPr>
      </w:pPr>
    </w:p>
    <w:p w:rsidR="00502385" w:rsidRPr="00502385" w:rsidRDefault="00502385" w:rsidP="00502385">
      <w:pPr>
        <w:spacing w:line="276" w:lineRule="auto"/>
        <w:jc w:val="both"/>
        <w:rPr>
          <w:b/>
          <w:sz w:val="24"/>
          <w:szCs w:val="24"/>
        </w:rPr>
      </w:pPr>
      <w:r w:rsidRPr="00502385">
        <w:rPr>
          <w:b/>
          <w:sz w:val="24"/>
          <w:szCs w:val="24"/>
        </w:rPr>
        <w:t>RODINNÉ PRÁVO</w:t>
      </w:r>
    </w:p>
    <w:p w:rsidR="00502385" w:rsidRPr="00502385" w:rsidRDefault="00502385" w:rsidP="00502385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manželství – charakteristika, vznik (okolnosti vylučující jeho uzavření), způsoby zániku</w:t>
      </w:r>
    </w:p>
    <w:p w:rsidR="00502385" w:rsidRDefault="00502385" w:rsidP="00502385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vyživovací povinnost – druhy a jejich charakteristika</w:t>
      </w:r>
    </w:p>
    <w:p w:rsidR="00502385" w:rsidRDefault="00502385" w:rsidP="00502385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502385" w:rsidRPr="00502385" w:rsidRDefault="00502385" w:rsidP="00502385">
      <w:pPr>
        <w:spacing w:line="276" w:lineRule="auto"/>
        <w:jc w:val="both"/>
        <w:rPr>
          <w:b/>
          <w:sz w:val="24"/>
          <w:szCs w:val="24"/>
        </w:rPr>
      </w:pPr>
      <w:r w:rsidRPr="00502385">
        <w:rPr>
          <w:b/>
          <w:sz w:val="24"/>
          <w:szCs w:val="24"/>
        </w:rPr>
        <w:lastRenderedPageBreak/>
        <w:t>PRACOVNÍ PRÁVO</w:t>
      </w:r>
    </w:p>
    <w:p w:rsidR="00502385" w:rsidRPr="00502385" w:rsidRDefault="00502385" w:rsidP="00502385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odpovědnost zaměstnavatele a zaměstnance za škodu – druhy odpovědnosti a jejich charakteristika</w:t>
      </w:r>
    </w:p>
    <w:p w:rsidR="00502385" w:rsidRPr="00502385" w:rsidRDefault="00502385" w:rsidP="00502385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pracovně právní vztahy – pojem, základní zásady, závislá práce (pojem a podmínky jejího vykonávání), vymezení účastníků pracovně právních vztahů</w:t>
      </w:r>
    </w:p>
    <w:p w:rsidR="00502385" w:rsidRPr="00502385" w:rsidRDefault="00502385" w:rsidP="00502385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pracovní poměr – pojem, způsoby vzniku, náležitosti pracovní smlouvy (obligatorní, fakultativní)</w:t>
      </w:r>
    </w:p>
    <w:p w:rsidR="00502385" w:rsidRDefault="00502385" w:rsidP="00502385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skončení pracovního poměru – způsoby a jejich charakteristika</w:t>
      </w:r>
    </w:p>
    <w:p w:rsidR="002F6648" w:rsidRDefault="002F6648" w:rsidP="00502385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porovnání pracovního práva se zákonem č. 361/2003 Sb. o služebním poměru</w:t>
      </w:r>
    </w:p>
    <w:p w:rsidR="00502385" w:rsidRDefault="00502385" w:rsidP="00502385">
      <w:pPr>
        <w:spacing w:line="276" w:lineRule="auto"/>
        <w:jc w:val="both"/>
        <w:rPr>
          <w:sz w:val="24"/>
          <w:szCs w:val="24"/>
        </w:rPr>
      </w:pPr>
    </w:p>
    <w:p w:rsidR="00502385" w:rsidRPr="002C48F3" w:rsidRDefault="00502385" w:rsidP="00502385">
      <w:pPr>
        <w:spacing w:line="276" w:lineRule="auto"/>
        <w:jc w:val="both"/>
        <w:rPr>
          <w:b/>
          <w:sz w:val="24"/>
          <w:szCs w:val="24"/>
        </w:rPr>
      </w:pPr>
      <w:r w:rsidRPr="002C48F3">
        <w:rPr>
          <w:b/>
          <w:sz w:val="24"/>
          <w:szCs w:val="24"/>
        </w:rPr>
        <w:t>TRESTNÍ PRÁVO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dokazování v trestním řízení – předmět, rozsah, důkazní prostředky, dělení důkazů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objektivní a subjektivní znaky trestního činu – podrobná charakteristika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obviněný, svědek – jejich postavení, práva a povinnosti v trestním řízení, vysvětlit termíny podezřelý, obžalovaný a odsouzený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okolnosti vylučující protiprávnost – pojem, tr. z. vymezené okolnosti; charakteristika nutné obrany a krajní nouze (podmínky, vybočení, rozdíl mezi nutnou obranou a krajní nouzí)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popsat orgány činné v trestním řízení + popsat stádia řízení před soudem dle trestního řádu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procesní úkony směřující k zajištění osob v trestním řízení (mimo vazby)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procesní úkony směřující k zajištění věcí v trestním řízení a jejich charakteristika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přípravné řízení v trestním právu – charakteristika a účel, formy; vyřízení věci před zahájením trestního stíhání – způsoby a důvody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souběh trestných činů a recidiva – pojem, druhy a účinky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trestná součinnost – charakteristika, znaky, spolupachatel, nepřímý pachatel, účastník (formy účastenství, zánik trestnosti účastenství)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páchané v souvislosti s provozem na pozemních komunikacích – charakteristika a jejich výčet, rozbor skutkové podstaty dvou z předmětných trestných činů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majetku – charakteristika, hranice výše škody, rozbor skutkové podstaty trestných činů „krádeže“ a „podvodu“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pořádku ve věcech veřejných -  charakteristika, vymezení pojmu úřední osoba, rozbor skutkové podstaty trestných činů _násilí proti úřední osobě“ a „přijetí úplatku“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rodině a dětem – charakteristika, vymezení pojmu „dítě“, rozbor skutkové podstaty trestných činů „zanedbání povinné výživy“ a „ohrožování výchovy dítěte“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svobodě – charakteristika, vymezení pojmu násilí, rozbor skutkové podstaty trestních činů „loupeže“ a „porušování domovní svobody“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životu a zdraví – charakteristika, vymezení pojmů ublížení na zdraví a těžká újma na zdraví, rozbor skutkové podstaty trestných činů „ublížení na zdraví“ a „neposkytnutí pomoci“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lastRenderedPageBreak/>
        <w:t>trestný čin – pojem, znaky, dělení trestných činů; skutková podstat trestného činu – pojem, znaky (obecně), třídění skutkových podstat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tresty – pojem, účel a charakteristika jednotlivých druhů v trestním právu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vazba – účel, důvody, nahrazení vazby</w:t>
      </w:r>
    </w:p>
    <w:p w:rsid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vývojová stádia trestné činnosti – obecná charakteristika jednotlivých stádií, podmínky trestnosti, zánik trestnosti</w:t>
      </w:r>
    </w:p>
    <w:p w:rsidR="00E207B9" w:rsidRDefault="00E207B9" w:rsidP="00E207B9">
      <w:pPr>
        <w:spacing w:line="276" w:lineRule="auto"/>
        <w:jc w:val="both"/>
        <w:rPr>
          <w:sz w:val="24"/>
          <w:szCs w:val="24"/>
        </w:rPr>
      </w:pPr>
    </w:p>
    <w:p w:rsidR="00E207B9" w:rsidRPr="00E207B9" w:rsidRDefault="00E207B9" w:rsidP="00E207B9">
      <w:pPr>
        <w:spacing w:line="276" w:lineRule="auto"/>
        <w:jc w:val="both"/>
        <w:rPr>
          <w:b/>
          <w:sz w:val="24"/>
          <w:szCs w:val="24"/>
        </w:rPr>
      </w:pPr>
      <w:r w:rsidRPr="00E207B9">
        <w:rPr>
          <w:b/>
          <w:sz w:val="24"/>
          <w:szCs w:val="24"/>
        </w:rPr>
        <w:t>SPRÁVNÍ PRÁVO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kontrola veřejné správy – účel kontroly, druhy kontrol a jejich charakteristika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kraje – jejich charakteristika, formy výkonu veřejné správy, právní předpisy vydávané krajem (platnost, účinnost), orgány kraje (způsob ustavení, pravomoc)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mladistvý a rámci zákona o přestupcích a řízení o nich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obce – jejich charakteristika, formy výkonu veřejné správy, právní předpisy vydávané obcí (platnost, účinnost); orgány obce způsob ustavení, pravomoc)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 xml:space="preserve">přestupek – pojem, znaky, druhy správních trestů a odlišnost od trestného činu 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přestupkové řízení – příslušnost, součinnost, způsob zahájení řízení (návrhové přestupky), účastníci řízení, průběh, způsoby skončení řízení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přestupky proti bezpečnosti a plynulosti provozu na pozemních komunikacích – jejich charakteristika a vymezení rozdílných znaků některých korespondujících trestných činů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přestupky proti majetku – jejich charakteristika a vymezení rozdílných znaků některých korespondujících trestných činů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přestupky proti občanskému soužití – jejich charakteristika a vymezení rozdílných znaků některých korespondujících trestných činů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přestupky proti veřejnému pořádku – jejich charakteristika a vymezení rozdílných znaků některých korespondujících trestných činů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správní řízení – pojem, prameny, stádia správního řízení – jejich charakteristika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subjekty správního řízení a jejich charakteristika, působnost Ministerstva vnitra ČR</w:t>
      </w:r>
    </w:p>
    <w:p w:rsid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zvláštní druhy přestupkového řízení – příkaz a příkaz na místě (podmínky, charakteristika), příkazový blok</w:t>
      </w:r>
    </w:p>
    <w:p w:rsidR="00E207B9" w:rsidRDefault="00E207B9" w:rsidP="00E207B9">
      <w:pPr>
        <w:spacing w:line="276" w:lineRule="auto"/>
        <w:jc w:val="both"/>
        <w:rPr>
          <w:sz w:val="24"/>
          <w:szCs w:val="24"/>
        </w:rPr>
      </w:pPr>
    </w:p>
    <w:p w:rsidR="00E207B9" w:rsidRPr="00A71A62" w:rsidRDefault="00A71A62" w:rsidP="00E207B9">
      <w:pPr>
        <w:spacing w:line="276" w:lineRule="auto"/>
        <w:jc w:val="both"/>
        <w:rPr>
          <w:b/>
          <w:sz w:val="24"/>
          <w:szCs w:val="24"/>
        </w:rPr>
      </w:pPr>
      <w:r w:rsidRPr="00A71A62">
        <w:rPr>
          <w:b/>
          <w:sz w:val="24"/>
          <w:szCs w:val="24"/>
        </w:rPr>
        <w:t>OBCHODNÍ, ŽIVNOSTENSKÉ A FINANČNÍ PRÁVO</w:t>
      </w:r>
    </w:p>
    <w:p w:rsidR="00A71A62" w:rsidRPr="00A71A62" w:rsidRDefault="00A71A62" w:rsidP="00A71A62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daň – pojem, rozdíl mezi daní a poplatkem, charakteristika konstrukčních prvků daně, daně přímé x nepřímé – rozdíl, příklady</w:t>
      </w:r>
    </w:p>
    <w:p w:rsidR="00A71A62" w:rsidRPr="00A71A62" w:rsidRDefault="00A71A62" w:rsidP="00A71A62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hospodářská soutěž – charakteristika, pojem soutěžitel, formy naroušení hospodářské soutěže; nekalá soutěž – charakteristika jednotlivých skutkových podstat nekalé soutěže</w:t>
      </w:r>
    </w:p>
    <w:p w:rsidR="00A71A62" w:rsidRPr="00A71A62" w:rsidRDefault="00A71A62" w:rsidP="00A71A62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kapitálové obchodní společnosti – pojem, charakteristika a jejich hlavní orgány, podnikání, podnikatel – pojem</w:t>
      </w:r>
    </w:p>
    <w:p w:rsidR="00A71A62" w:rsidRPr="00A71A62" w:rsidRDefault="00A71A62" w:rsidP="00A71A62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osobní obchodní společnosti – pojem, charakteristika a jejich hlavní orgány, obchodní rejstřík</w:t>
      </w:r>
    </w:p>
    <w:p w:rsidR="00A71A62" w:rsidRPr="00A71A62" w:rsidRDefault="00A71A62" w:rsidP="00A71A62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živnostenské podnikání – pojem, druhy živností a jejich charakteristika</w:t>
      </w:r>
    </w:p>
    <w:p w:rsidR="00E207B9" w:rsidRDefault="00E207B9" w:rsidP="00E207B9">
      <w:pPr>
        <w:spacing w:line="276" w:lineRule="auto"/>
        <w:jc w:val="both"/>
        <w:rPr>
          <w:sz w:val="24"/>
          <w:szCs w:val="24"/>
        </w:rPr>
      </w:pPr>
    </w:p>
    <w:p w:rsidR="00E207B9" w:rsidRPr="00E207B9" w:rsidRDefault="00E207B9" w:rsidP="00E207B9">
      <w:pPr>
        <w:spacing w:line="276" w:lineRule="auto"/>
        <w:jc w:val="both"/>
        <w:rPr>
          <w:sz w:val="24"/>
          <w:szCs w:val="24"/>
        </w:rPr>
      </w:pPr>
    </w:p>
    <w:sectPr w:rsidR="00E207B9" w:rsidRPr="00E207B9" w:rsidSect="003D5D9B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4A" w:rsidRDefault="00883C4A" w:rsidP="003B74B9">
      <w:r>
        <w:separator/>
      </w:r>
    </w:p>
  </w:endnote>
  <w:endnote w:type="continuationSeparator" w:id="0">
    <w:p w:rsidR="00883C4A" w:rsidRDefault="00883C4A" w:rsidP="003B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63486"/>
      <w:docPartObj>
        <w:docPartGallery w:val="Page Numbers (Bottom of Page)"/>
        <w:docPartUnique/>
      </w:docPartObj>
    </w:sdtPr>
    <w:sdtEndPr/>
    <w:sdtContent>
      <w:p w:rsidR="00E207B9" w:rsidRDefault="00E207B9">
        <w:pPr>
          <w:pStyle w:val="Zpat"/>
          <w:jc w:val="right"/>
        </w:pPr>
      </w:p>
      <w:p w:rsidR="00E207B9" w:rsidRDefault="00E207B9" w:rsidP="00E207B9">
        <w:pPr>
          <w:pStyle w:val="Zpat"/>
        </w:pPr>
        <w:r>
          <w:t xml:space="preserve">platné od </w:t>
        </w:r>
        <w:r w:rsidR="002E040F">
          <w:t>1. 9.</w:t>
        </w:r>
        <w:r w:rsidR="004247C1">
          <w:t xml:space="preserve"> </w:t>
        </w:r>
        <w:r w:rsidR="005809C3">
          <w:t>2018</w:t>
        </w:r>
        <w:r>
          <w:t xml:space="preserve"> </w:t>
        </w:r>
        <w:r>
          <w:tab/>
          <w:t xml:space="preserve">maturitní </w:t>
        </w:r>
        <w:r w:rsidR="005809C3">
          <w:t>zkoušky – jaro 2019</w:t>
        </w:r>
        <w:r>
          <w:tab/>
          <w:t xml:space="preserve">str. </w:t>
        </w:r>
        <w:r w:rsidR="00883C4A">
          <w:fldChar w:fldCharType="begin"/>
        </w:r>
        <w:r w:rsidR="00883C4A">
          <w:instrText xml:space="preserve"> PAGE   \* MERGEFORMAT </w:instrText>
        </w:r>
        <w:r w:rsidR="00883C4A">
          <w:fldChar w:fldCharType="separate"/>
        </w:r>
        <w:r w:rsidR="005809C3">
          <w:rPr>
            <w:noProof/>
          </w:rPr>
          <w:t>1</w:t>
        </w:r>
        <w:r w:rsidR="00883C4A">
          <w:rPr>
            <w:noProof/>
          </w:rPr>
          <w:fldChar w:fldCharType="end"/>
        </w:r>
      </w:p>
    </w:sdtContent>
  </w:sdt>
  <w:p w:rsidR="00E207B9" w:rsidRDefault="00E207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4A" w:rsidRDefault="00883C4A" w:rsidP="003B74B9">
      <w:r>
        <w:separator/>
      </w:r>
    </w:p>
  </w:footnote>
  <w:footnote w:type="continuationSeparator" w:id="0">
    <w:p w:rsidR="00883C4A" w:rsidRDefault="00883C4A" w:rsidP="003B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01D7"/>
    <w:multiLevelType w:val="hybridMultilevel"/>
    <w:tmpl w:val="8F44CE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E1B"/>
    <w:multiLevelType w:val="hybridMultilevel"/>
    <w:tmpl w:val="C2DCE9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3ECC"/>
    <w:multiLevelType w:val="hybridMultilevel"/>
    <w:tmpl w:val="A86A6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534A"/>
    <w:multiLevelType w:val="hybridMultilevel"/>
    <w:tmpl w:val="2C5E89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E7D26"/>
    <w:multiLevelType w:val="hybridMultilevel"/>
    <w:tmpl w:val="BE2C4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465E"/>
    <w:multiLevelType w:val="hybridMultilevel"/>
    <w:tmpl w:val="AC70D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8E5"/>
    <w:multiLevelType w:val="hybridMultilevel"/>
    <w:tmpl w:val="D754512C"/>
    <w:lvl w:ilvl="0" w:tplc="97B80C0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34A4A"/>
    <w:multiLevelType w:val="hybridMultilevel"/>
    <w:tmpl w:val="5D781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84F81"/>
    <w:multiLevelType w:val="hybridMultilevel"/>
    <w:tmpl w:val="A20C1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B7928"/>
    <w:multiLevelType w:val="hybridMultilevel"/>
    <w:tmpl w:val="7312F6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74686"/>
    <w:multiLevelType w:val="hybridMultilevel"/>
    <w:tmpl w:val="76EE12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132"/>
    <w:rsid w:val="00054155"/>
    <w:rsid w:val="000E3955"/>
    <w:rsid w:val="00115E22"/>
    <w:rsid w:val="00145D0F"/>
    <w:rsid w:val="00220A6F"/>
    <w:rsid w:val="00233463"/>
    <w:rsid w:val="002C48F3"/>
    <w:rsid w:val="002E040F"/>
    <w:rsid w:val="002F6648"/>
    <w:rsid w:val="00303A97"/>
    <w:rsid w:val="003801FC"/>
    <w:rsid w:val="003B74B9"/>
    <w:rsid w:val="003D16A3"/>
    <w:rsid w:val="003D5D9B"/>
    <w:rsid w:val="004247C1"/>
    <w:rsid w:val="004A0BB3"/>
    <w:rsid w:val="004F3F60"/>
    <w:rsid w:val="00502385"/>
    <w:rsid w:val="00510FEE"/>
    <w:rsid w:val="005809C3"/>
    <w:rsid w:val="0064134F"/>
    <w:rsid w:val="006D6AAA"/>
    <w:rsid w:val="007B63B8"/>
    <w:rsid w:val="007E2132"/>
    <w:rsid w:val="00883C4A"/>
    <w:rsid w:val="008B38F9"/>
    <w:rsid w:val="009D2548"/>
    <w:rsid w:val="00A71A62"/>
    <w:rsid w:val="00A85D51"/>
    <w:rsid w:val="00C96A42"/>
    <w:rsid w:val="00D07276"/>
    <w:rsid w:val="00E14083"/>
    <w:rsid w:val="00E207B9"/>
    <w:rsid w:val="00F045C6"/>
    <w:rsid w:val="00F862E7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D09E6"/>
  <w15:docId w15:val="{509760B6-B160-4A64-8E0D-A2ADE0A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D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D5D9B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Odkazjemn">
    <w:name w:val="Subtle Reference"/>
    <w:basedOn w:val="Standardnpsmoodstavce"/>
    <w:uiPriority w:val="31"/>
    <w:qFormat/>
    <w:rsid w:val="00FF15B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F15B3"/>
    <w:rPr>
      <w:b/>
      <w:bCs/>
      <w:smallCaps/>
      <w:color w:val="C0504D" w:themeColor="accent2"/>
      <w:spacing w:val="5"/>
      <w:u w:val="single"/>
    </w:rPr>
  </w:style>
  <w:style w:type="paragraph" w:styleId="Zhlav">
    <w:name w:val="header"/>
    <w:basedOn w:val="Normln"/>
    <w:link w:val="ZhlavChar"/>
    <w:rsid w:val="003B7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74B9"/>
  </w:style>
  <w:style w:type="paragraph" w:styleId="Zpat">
    <w:name w:val="footer"/>
    <w:basedOn w:val="Normln"/>
    <w:link w:val="ZpatChar"/>
    <w:uiPriority w:val="99"/>
    <w:rsid w:val="003B74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74B9"/>
  </w:style>
  <w:style w:type="paragraph" w:styleId="Odstavecseseznamem">
    <w:name w:val="List Paragraph"/>
    <w:basedOn w:val="Normln"/>
    <w:uiPriority w:val="34"/>
    <w:qFormat/>
    <w:rsid w:val="006D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rivisprah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819E6DF-55D1-4FFC-BCED-D14BDF3A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1018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7012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Brabcova, Natasa</cp:lastModifiedBy>
  <cp:revision>8</cp:revision>
  <cp:lastPrinted>2001-01-04T07:50:00Z</cp:lastPrinted>
  <dcterms:created xsi:type="dcterms:W3CDTF">2017-12-06T08:24:00Z</dcterms:created>
  <dcterms:modified xsi:type="dcterms:W3CDTF">2019-03-05T11:11:00Z</dcterms:modified>
</cp:coreProperties>
</file>