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7F8471" wp14:editId="3208AAAF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6E14D7" w:rsidRDefault="006E14D7" w:rsidP="006E14D7">
      <w:pPr>
        <w:jc w:val="center"/>
      </w:pPr>
      <w:r>
        <w:t>OR vedený městským soudem v Praze, oddíl C, vložka 50353</w:t>
      </w:r>
    </w:p>
    <w:p w:rsidR="006E14D7" w:rsidRDefault="006E14D7" w:rsidP="006E14D7">
      <w:pPr>
        <w:jc w:val="center"/>
        <w:rPr>
          <w:i/>
        </w:rPr>
      </w:pPr>
    </w:p>
    <w:p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6E14D7" w:rsidRPr="0064159A" w:rsidRDefault="006E14D7" w:rsidP="006E14D7">
      <w:pPr>
        <w:pStyle w:val="Nadpis1"/>
        <w:rPr>
          <w:b/>
          <w:sz w:val="16"/>
        </w:rPr>
      </w:pPr>
    </w:p>
    <w:p w:rsidR="001824B9" w:rsidRPr="001824B9" w:rsidRDefault="001824B9" w:rsidP="001824B9">
      <w:pPr>
        <w:jc w:val="center"/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</w:pPr>
      <w:r w:rsidRPr="001824B9"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>Hodnocení zkoušky profilové části maturitní zkoušky z předmětu Kriminalistika</w:t>
      </w:r>
      <w:r w:rsidR="003D3BAB"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 xml:space="preserve"> – </w:t>
      </w:r>
      <w:r w:rsidR="00990F26"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>ústní</w:t>
      </w:r>
      <w:r w:rsidR="003D3BAB"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 xml:space="preserve"> část</w:t>
      </w:r>
    </w:p>
    <w:p w:rsidR="0087171D" w:rsidRPr="001824B9" w:rsidRDefault="0087171D" w:rsidP="0087171D">
      <w:pPr>
        <w:jc w:val="center"/>
        <w:rPr>
          <w:b/>
          <w:sz w:val="24"/>
        </w:rPr>
      </w:pPr>
      <w:r w:rsidRPr="001824B9">
        <w:rPr>
          <w:b/>
          <w:sz w:val="24"/>
        </w:rPr>
        <w:t>školní rok 202</w:t>
      </w:r>
      <w:r w:rsidR="00DF1970">
        <w:rPr>
          <w:b/>
          <w:sz w:val="24"/>
        </w:rPr>
        <w:t>5</w:t>
      </w:r>
      <w:r w:rsidRPr="001824B9">
        <w:rPr>
          <w:b/>
          <w:sz w:val="24"/>
        </w:rPr>
        <w:t>/2</w:t>
      </w:r>
      <w:r w:rsidR="00DF1970">
        <w:rPr>
          <w:b/>
          <w:sz w:val="24"/>
        </w:rPr>
        <w:t>6</w:t>
      </w:r>
    </w:p>
    <w:p w:rsidR="001824B9" w:rsidRDefault="001824B9" w:rsidP="0087171D">
      <w:pPr>
        <w:jc w:val="center"/>
      </w:pPr>
    </w:p>
    <w:p w:rsidR="00990F26" w:rsidRDefault="00990F26" w:rsidP="00990F26">
      <w:pPr>
        <w:spacing w:after="5"/>
        <w:ind w:left="-5" w:hanging="10"/>
      </w:pPr>
      <w:r>
        <w:rPr>
          <w:rFonts w:ascii="Arial" w:eastAsia="Arial" w:hAnsi="Arial" w:cs="Arial"/>
          <w:sz w:val="24"/>
        </w:rPr>
        <w:t>Hodnocení profilové zkoušky z předmětu Kriminalistika (ústní), klasifikační stupnice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90F26" w:rsidRDefault="00990F26" w:rsidP="00990F26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6251" w:type="dxa"/>
        <w:tblInd w:w="-60" w:type="dxa"/>
        <w:tblCellMar>
          <w:top w:w="9" w:type="dxa"/>
          <w:left w:w="12" w:type="dxa"/>
          <w:right w:w="86" w:type="dxa"/>
        </w:tblCellMar>
        <w:tblLook w:val="04A0" w:firstRow="1" w:lastRow="0" w:firstColumn="1" w:lastColumn="0" w:noHBand="0" w:noVBand="1"/>
      </w:tblPr>
      <w:tblGrid>
        <w:gridCol w:w="4820"/>
        <w:gridCol w:w="1431"/>
      </w:tblGrid>
      <w:tr w:rsidR="00990F26" w:rsidTr="003F2571">
        <w:trPr>
          <w:trHeight w:val="84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>Použití pojmů, odborné terminologie, postupů dle metodiky vyšetřování trestných činů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>70%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0F26" w:rsidTr="003F2571">
        <w:trPr>
          <w:trHeight w:val="56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Práce s Trestním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řádem (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z.č</w:t>
            </w:r>
            <w:proofErr w:type="spellEnd"/>
            <w:r>
              <w:rPr>
                <w:rFonts w:ascii="Arial" w:eastAsia="Arial" w:hAnsi="Arial" w:cs="Arial"/>
                <w:sz w:val="24"/>
              </w:rPr>
              <w:t>.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141/1961 Sb.) a Trestním zákoníkem, (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z.č</w:t>
            </w:r>
            <w:proofErr w:type="spellEnd"/>
            <w:r>
              <w:rPr>
                <w:rFonts w:ascii="Arial" w:eastAsia="Arial" w:hAnsi="Arial" w:cs="Arial"/>
                <w:sz w:val="24"/>
              </w:rPr>
              <w:t>. 40/2009 Sb.).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>20%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0F26" w:rsidTr="003F2571">
        <w:trPr>
          <w:trHeight w:val="28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>Zpracování dokumentace v kriminalistice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>10%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90F26" w:rsidRDefault="00990F26" w:rsidP="00990F26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990F26" w:rsidRDefault="00990F26" w:rsidP="00990F26">
      <w:pPr>
        <w:spacing w:after="8"/>
      </w:pPr>
      <w:r>
        <w:rPr>
          <w:rFonts w:ascii="Arial" w:eastAsia="Arial" w:hAnsi="Arial" w:cs="Arial"/>
          <w:sz w:val="24"/>
        </w:rPr>
        <w:t xml:space="preserve"> </w:t>
      </w:r>
    </w:p>
    <w:p w:rsidR="00990F26" w:rsidRDefault="00990F26" w:rsidP="00990F26">
      <w:pPr>
        <w:numPr>
          <w:ilvl w:val="0"/>
          <w:numId w:val="10"/>
        </w:numPr>
        <w:spacing w:after="5"/>
        <w:ind w:hanging="281"/>
      </w:pPr>
      <w:r>
        <w:rPr>
          <w:rFonts w:ascii="Arial" w:eastAsia="Arial" w:hAnsi="Arial" w:cs="Arial"/>
          <w:sz w:val="24"/>
        </w:rPr>
        <w:t>výborný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90F26" w:rsidRDefault="00990F26" w:rsidP="00990F26">
      <w:pPr>
        <w:numPr>
          <w:ilvl w:val="0"/>
          <w:numId w:val="10"/>
        </w:numPr>
        <w:spacing w:after="5"/>
        <w:ind w:hanging="281"/>
      </w:pPr>
      <w:r>
        <w:rPr>
          <w:rFonts w:ascii="Arial" w:eastAsia="Arial" w:hAnsi="Arial" w:cs="Arial"/>
          <w:sz w:val="24"/>
        </w:rPr>
        <w:t>chvalitebný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90F26" w:rsidRDefault="00990F26" w:rsidP="00990F26">
      <w:pPr>
        <w:numPr>
          <w:ilvl w:val="0"/>
          <w:numId w:val="10"/>
        </w:numPr>
        <w:spacing w:after="5"/>
        <w:ind w:hanging="281"/>
      </w:pPr>
      <w:r>
        <w:rPr>
          <w:rFonts w:ascii="Arial" w:eastAsia="Arial" w:hAnsi="Arial" w:cs="Arial"/>
          <w:sz w:val="24"/>
        </w:rPr>
        <w:t>dobrý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90F26" w:rsidRDefault="00990F26" w:rsidP="00990F26">
      <w:pPr>
        <w:numPr>
          <w:ilvl w:val="0"/>
          <w:numId w:val="10"/>
        </w:numPr>
        <w:spacing w:after="5"/>
        <w:ind w:hanging="281"/>
      </w:pPr>
      <w:r>
        <w:rPr>
          <w:rFonts w:ascii="Arial" w:eastAsia="Arial" w:hAnsi="Arial" w:cs="Arial"/>
          <w:sz w:val="24"/>
        </w:rPr>
        <w:t>dostatečný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90F26" w:rsidRDefault="00990F26" w:rsidP="00990F26">
      <w:pPr>
        <w:numPr>
          <w:ilvl w:val="0"/>
          <w:numId w:val="10"/>
        </w:numPr>
        <w:spacing w:after="5"/>
        <w:ind w:hanging="281"/>
      </w:pPr>
      <w:r>
        <w:rPr>
          <w:rFonts w:ascii="Arial" w:eastAsia="Arial" w:hAnsi="Arial" w:cs="Arial"/>
          <w:sz w:val="24"/>
        </w:rPr>
        <w:t>nedostatečný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90F26" w:rsidRDefault="00990F26" w:rsidP="00990F26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990F26" w:rsidRDefault="00990F26" w:rsidP="00990F26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650" w:type="dxa"/>
        <w:tblInd w:w="-60" w:type="dxa"/>
        <w:tblCellMar>
          <w:top w:w="46" w:type="dxa"/>
          <w:left w:w="12" w:type="dxa"/>
        </w:tblCellMar>
        <w:tblLook w:val="04A0" w:firstRow="1" w:lastRow="0" w:firstColumn="1" w:lastColumn="0" w:noHBand="0" w:noVBand="1"/>
      </w:tblPr>
      <w:tblGrid>
        <w:gridCol w:w="4820"/>
        <w:gridCol w:w="4830"/>
      </w:tblGrid>
      <w:tr w:rsidR="00990F26" w:rsidTr="003F2571">
        <w:trPr>
          <w:trHeight w:val="28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>Klasifikační stupeň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>Kritérium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0F26" w:rsidTr="003F2571">
        <w:trPr>
          <w:trHeight w:val="304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>Stupeň 1 (výborný)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>Žák ovládá požadované poznatky, fakta, definice a zákonitosti uceleně, přesně a úplně. Žák dokáže výstižně formulovat problematiku kriminalistiky s využitím odborné terminologie a prokazuje schopnost samostatného úsudku. Myslí logicky správně,  samostatně.  Žák má ústní projev přesný, výstižný, umí vyzdvihnout fakta. Žák se orientuje v právní problematice a metodice týkající se vyšetřování trestných činů.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0F26" w:rsidTr="003F2571">
        <w:trPr>
          <w:trHeight w:val="497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lastRenderedPageBreak/>
              <w:t>Stupeň 2 (chvalitebný)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>
            <w:pPr>
              <w:spacing w:line="248" w:lineRule="auto"/>
            </w:pPr>
            <w:r>
              <w:rPr>
                <w:rFonts w:ascii="Arial" w:eastAsia="Arial" w:hAnsi="Arial" w:cs="Arial"/>
                <w:sz w:val="24"/>
              </w:rPr>
              <w:t>Žák ovládá požadované poznatky, fakta, definice a zákonitosti uceleně s drobnými nedostatky. Žák dokáže formulovat problematiku kriminalistiky s využitím odborné terminologie, s drobnými nedostatky. Převážně prokazuje schopnost samostatného úsudku, logického myšlení. Ústní projev je bez výrazných chyb, dokáže zachytit podstatu a fakta. Žák se bez větších problémů orientuje v právní problematice  a metodice  týkající se vyšetřování trestných činů.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90F26" w:rsidTr="003F2571">
        <w:trPr>
          <w:trHeight w:val="28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>Stupeň 3 (dobrý)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 xml:space="preserve">Žák ovládá požadované poznatky, fakta, </w:t>
            </w:r>
          </w:p>
        </w:tc>
      </w:tr>
      <w:tr w:rsidR="00990F26" w:rsidTr="003F2571">
        <w:trPr>
          <w:trHeight w:val="3317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/>
        </w:tc>
        <w:tc>
          <w:tcPr>
            <w:tcW w:w="4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>definice a zákonitosti uceleně s občasnými  nedostatky. Žák dokáže formulovat problematiku kriminalistiky s využitím odborné terminologie  částečně. Schopnost samostatného úsudku žák prokazuje s obtížemi, v logickém myšlení projevuje nedostatky. V ústním projevu má nedostatky, obtížně dokáže zachytit podstatu a fakta, potřebuje podporu učitele formou doplňujících otázek. Žák se s obtížemi  orientuje v právní problematice  a metodice týkající se vyšetřování trestných činů.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90F26" w:rsidTr="003F2571">
        <w:trPr>
          <w:trHeight w:val="359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>Stupeň 4 (dostatečný)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26" w:rsidRDefault="00990F26" w:rsidP="003F2571">
            <w:r>
              <w:rPr>
                <w:rFonts w:ascii="Arial" w:eastAsia="Arial" w:hAnsi="Arial" w:cs="Arial"/>
                <w:sz w:val="24"/>
              </w:rPr>
              <w:t>Žák má výrazné nedostatky v aplikaci požadovaných poznatků, faktů, definic, v přesnosti  a úplnosti.  Žák s velkými obtížemi formuluje problematiku kriminalistiky s nepřesným využitím odborné terminologie. Schopnost samostatného úsudku žák  téměř neprokazuje,  v logickém myšlení projevuje závažné nedostatky. V ústním projevu má výrazné nedostatky, nedokáže téměř zachytit podstatu a fakta. Žák se obtížně orientuje v právní problematice  a metodice týkající se vyšetřování trestných činů, potřebuje podporu učitele.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75608F" w:rsidRPr="0087171D" w:rsidRDefault="0075608F" w:rsidP="0087171D">
      <w:pPr>
        <w:jc w:val="center"/>
      </w:pPr>
    </w:p>
    <w:p w:rsidR="0075608F" w:rsidRDefault="001824B9" w:rsidP="007560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Zpracovala</w:t>
      </w:r>
      <w:r w:rsidR="0075608F">
        <w:rPr>
          <w:rFonts w:ascii="Times New Roman" w:hAnsi="Times New Roman" w:cs="Times New Roman"/>
        </w:rPr>
        <w:t xml:space="preserve"> k </w:t>
      </w:r>
      <w:proofErr w:type="gramStart"/>
      <w:r w:rsidR="0075608F">
        <w:rPr>
          <w:rFonts w:ascii="Times New Roman" w:hAnsi="Times New Roman" w:cs="Times New Roman"/>
        </w:rPr>
        <w:t>2</w:t>
      </w:r>
      <w:r w:rsidR="00DF1970">
        <w:rPr>
          <w:rFonts w:ascii="Times New Roman" w:hAnsi="Times New Roman" w:cs="Times New Roman"/>
        </w:rPr>
        <w:t>9</w:t>
      </w:r>
      <w:r w:rsidR="0075608F">
        <w:rPr>
          <w:rFonts w:ascii="Times New Roman" w:hAnsi="Times New Roman" w:cs="Times New Roman"/>
        </w:rPr>
        <w:t>.9.202</w:t>
      </w:r>
      <w:r w:rsidR="00DF1970">
        <w:rPr>
          <w:rFonts w:ascii="Times New Roman" w:hAnsi="Times New Roman" w:cs="Times New Roman"/>
        </w:rPr>
        <w:t>5</w:t>
      </w:r>
      <w:proofErr w:type="gramEnd"/>
      <w:r w:rsidR="0075608F">
        <w:rPr>
          <w:rFonts w:ascii="Times New Roman" w:hAnsi="Times New Roman" w:cs="Times New Roman"/>
        </w:rPr>
        <w:t xml:space="preserve">:  </w:t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  <w:t xml:space="preserve">Ředitel: SŠV a VOŠ </w:t>
      </w:r>
      <w:proofErr w:type="spellStart"/>
      <w:r w:rsidR="0075608F">
        <w:rPr>
          <w:rFonts w:ascii="Times New Roman" w:hAnsi="Times New Roman" w:cs="Times New Roman"/>
        </w:rPr>
        <w:t>Trivis</w:t>
      </w:r>
      <w:proofErr w:type="spellEnd"/>
      <w:r w:rsidR="0075608F">
        <w:rPr>
          <w:rFonts w:ascii="Times New Roman" w:hAnsi="Times New Roman" w:cs="Times New Roman"/>
        </w:rPr>
        <w:t xml:space="preserve"> Praha</w:t>
      </w:r>
    </w:p>
    <w:p w:rsidR="0075608F" w:rsidRDefault="005467B2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>
        <w:rPr>
          <w:rFonts w:ascii="Times New Roman" w:hAnsi="Times New Roman" w:cs="Times New Roman"/>
        </w:rPr>
        <w:t>Mgr. Petra Zlámalová</w:t>
      </w:r>
      <w:r w:rsidR="0075608F">
        <w:rPr>
          <w:rFonts w:ascii="Times New Roman" w:hAnsi="Times New Roman" w:cs="Times New Roman"/>
        </w:rPr>
        <w:t xml:space="preserve">           </w:t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 w:rsidRPr="00B7659B">
        <w:rPr>
          <w:rFonts w:ascii="Times New Roman" w:hAnsi="Times New Roman" w:cs="Times New Roman"/>
        </w:rPr>
        <w:t xml:space="preserve">PaedDr. </w:t>
      </w:r>
      <w:proofErr w:type="gramStart"/>
      <w:r w:rsidR="0075608F" w:rsidRPr="00B7659B">
        <w:rPr>
          <w:rFonts w:ascii="Times New Roman" w:hAnsi="Times New Roman" w:cs="Times New Roman"/>
        </w:rPr>
        <w:t>et</w:t>
      </w:r>
      <w:proofErr w:type="gramEnd"/>
      <w:r w:rsidR="0075608F" w:rsidRPr="00B7659B">
        <w:rPr>
          <w:rFonts w:ascii="Times New Roman" w:hAnsi="Times New Roman" w:cs="Times New Roman"/>
        </w:rPr>
        <w:t xml:space="preserve"> Mgr. et Bc. Jan Dalecký, MBA</w:t>
      </w:r>
      <w:r w:rsidR="00DF1970">
        <w:rPr>
          <w:rFonts w:ascii="Times New Roman" w:hAnsi="Times New Roman" w:cs="Times New Roman"/>
        </w:rPr>
        <w:t>, D. Ed.</w:t>
      </w:r>
      <w:bookmarkStart w:id="0" w:name="_GoBack"/>
      <w:bookmarkEnd w:id="0"/>
    </w:p>
    <w:p w:rsidR="002712C2" w:rsidRDefault="002712C2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</w:p>
    <w:sectPr w:rsidR="002712C2" w:rsidSect="006E14D7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13F"/>
    <w:multiLevelType w:val="hybridMultilevel"/>
    <w:tmpl w:val="D49E6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245F"/>
    <w:multiLevelType w:val="hybridMultilevel"/>
    <w:tmpl w:val="06C87A6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6F4C"/>
    <w:multiLevelType w:val="hybridMultilevel"/>
    <w:tmpl w:val="259AC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64036"/>
    <w:multiLevelType w:val="hybridMultilevel"/>
    <w:tmpl w:val="587CFC68"/>
    <w:lvl w:ilvl="0" w:tplc="C1BAA89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ED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40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8A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09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CE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6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EE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E9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4349E"/>
    <w:multiLevelType w:val="hybridMultilevel"/>
    <w:tmpl w:val="AC1A09A6"/>
    <w:lvl w:ilvl="0" w:tplc="6A70B968">
      <w:start w:val="1"/>
      <w:numFmt w:val="decimal"/>
      <w:lvlText w:val="%1-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A23D6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A064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CEFA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BA78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621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B205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1677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8A5B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D2A17"/>
    <w:rsid w:val="001824B9"/>
    <w:rsid w:val="002712C2"/>
    <w:rsid w:val="003D3BAB"/>
    <w:rsid w:val="005467B2"/>
    <w:rsid w:val="0064159A"/>
    <w:rsid w:val="006E14D7"/>
    <w:rsid w:val="0075608F"/>
    <w:rsid w:val="00824B74"/>
    <w:rsid w:val="0087171D"/>
    <w:rsid w:val="00953E6A"/>
    <w:rsid w:val="00990F26"/>
    <w:rsid w:val="00A65601"/>
    <w:rsid w:val="00AC7330"/>
    <w:rsid w:val="00C83365"/>
    <w:rsid w:val="00DF1970"/>
    <w:rsid w:val="00EC3857"/>
    <w:rsid w:val="00F5669E"/>
    <w:rsid w:val="00F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4A29"/>
  <w15:chartTrackingRefBased/>
  <w15:docId w15:val="{394705EC-DB86-4DED-9C31-9FB9E3E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60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60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1824B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824B9"/>
    <w:pPr>
      <w:suppressLineNumbers/>
    </w:pPr>
  </w:style>
  <w:style w:type="table" w:customStyle="1" w:styleId="TableGrid">
    <w:name w:val="TableGrid"/>
    <w:rsid w:val="00990F26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46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67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3</cp:revision>
  <cp:lastPrinted>2025-10-08T09:30:00Z</cp:lastPrinted>
  <dcterms:created xsi:type="dcterms:W3CDTF">2024-10-03T06:34:00Z</dcterms:created>
  <dcterms:modified xsi:type="dcterms:W3CDTF">2025-10-08T09:30:00Z</dcterms:modified>
</cp:coreProperties>
</file>