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4D7" w:rsidRPr="002E5B54" w:rsidRDefault="006E14D7" w:rsidP="006E14D7">
      <w:pPr>
        <w:jc w:val="center"/>
        <w:rPr>
          <w:b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377F8471" wp14:editId="3208AAAF">
            <wp:simplePos x="0" y="0"/>
            <wp:positionH relativeFrom="column">
              <wp:posOffset>-48895</wp:posOffset>
            </wp:positionH>
            <wp:positionV relativeFrom="paragraph">
              <wp:posOffset>-212090</wp:posOffset>
            </wp:positionV>
            <wp:extent cx="800100" cy="777875"/>
            <wp:effectExtent l="19050" t="0" r="0" b="0"/>
            <wp:wrapTight wrapText="bothSides">
              <wp:wrapPolygon edited="0">
                <wp:start x="4629" y="0"/>
                <wp:lineTo x="-514" y="7406"/>
                <wp:lineTo x="1029" y="16927"/>
                <wp:lineTo x="8743" y="21159"/>
                <wp:lineTo x="9257" y="21159"/>
                <wp:lineTo x="12343" y="21159"/>
                <wp:lineTo x="12857" y="21159"/>
                <wp:lineTo x="20571" y="16927"/>
                <wp:lineTo x="21600" y="8993"/>
                <wp:lineTo x="21600" y="7406"/>
                <wp:lineTo x="16971" y="0"/>
                <wp:lineTo x="4629" y="0"/>
              </wp:wrapPolygon>
            </wp:wrapTight>
            <wp:docPr id="2" name="obrázek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7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TRIVIS</w:t>
      </w:r>
      <w:r w:rsidRPr="002E5B54">
        <w:rPr>
          <w:b/>
        </w:rPr>
        <w:t xml:space="preserve"> - Střední škola veřejnoprávní a Vyšší odborná škola prevence kriminality a krizového řízení </w:t>
      </w:r>
      <w:r>
        <w:rPr>
          <w:b/>
        </w:rPr>
        <w:t xml:space="preserve">Praha, </w:t>
      </w:r>
      <w:r w:rsidRPr="002E5B54">
        <w:rPr>
          <w:b/>
        </w:rPr>
        <w:t>s.r.o.</w:t>
      </w:r>
      <w:r>
        <w:rPr>
          <w:b/>
        </w:rPr>
        <w:t>,</w:t>
      </w:r>
      <w:r w:rsidRPr="002E5B54">
        <w:rPr>
          <w:b/>
        </w:rPr>
        <w:t xml:space="preserve"> Hovorčovická 1281/11, 182 00 </w:t>
      </w:r>
      <w:r>
        <w:rPr>
          <w:b/>
        </w:rPr>
        <w:t xml:space="preserve"> </w:t>
      </w:r>
      <w:r w:rsidRPr="002E5B54">
        <w:rPr>
          <w:b/>
        </w:rPr>
        <w:t>Praha 8</w:t>
      </w:r>
    </w:p>
    <w:p w:rsidR="006E14D7" w:rsidRDefault="006E14D7" w:rsidP="006E14D7">
      <w:pPr>
        <w:jc w:val="center"/>
      </w:pPr>
      <w:r>
        <w:t>OR vedený městským soudem v Praze, oddíl C, vložka 50353</w:t>
      </w:r>
    </w:p>
    <w:p w:rsidR="006E14D7" w:rsidRDefault="006E14D7" w:rsidP="006E14D7">
      <w:pPr>
        <w:jc w:val="center"/>
        <w:rPr>
          <w:i/>
        </w:rPr>
      </w:pPr>
    </w:p>
    <w:p w:rsidR="006E14D7" w:rsidRPr="006E3F30" w:rsidRDefault="006E14D7" w:rsidP="006E14D7">
      <w:pPr>
        <w:pBdr>
          <w:bottom w:val="single" w:sz="6" w:space="1" w:color="auto"/>
        </w:pBdr>
        <w:rPr>
          <w:color w:val="3366FF"/>
        </w:rPr>
      </w:pPr>
      <w:r>
        <w:rPr>
          <w:i/>
          <w:color w:val="3366FF"/>
        </w:rPr>
        <w:t>T</w:t>
      </w:r>
      <w:r w:rsidRPr="006E3F30">
        <w:rPr>
          <w:i/>
          <w:color w:val="3366FF"/>
        </w:rPr>
        <w:t>el.</w:t>
      </w:r>
      <w:r>
        <w:rPr>
          <w:i/>
          <w:color w:val="3366FF"/>
        </w:rPr>
        <w:t xml:space="preserve">: 233  543 233           </w:t>
      </w:r>
      <w:r w:rsidRPr="006E3F30">
        <w:rPr>
          <w:b/>
          <w:i/>
          <w:color w:val="3366FF"/>
        </w:rPr>
        <w:t xml:space="preserve"> </w:t>
      </w:r>
      <w:r w:rsidRPr="006E3F30">
        <w:rPr>
          <w:b/>
          <w:i/>
          <w:color w:val="3366FF"/>
        </w:rPr>
        <w:tab/>
      </w:r>
      <w:r>
        <w:rPr>
          <w:b/>
          <w:i/>
          <w:color w:val="3366FF"/>
        </w:rPr>
        <w:t xml:space="preserve">     </w:t>
      </w:r>
      <w:r w:rsidRPr="006E3F30">
        <w:rPr>
          <w:b/>
          <w:i/>
          <w:color w:val="3366FF"/>
        </w:rPr>
        <w:t xml:space="preserve">   </w:t>
      </w:r>
      <w:r>
        <w:rPr>
          <w:b/>
          <w:i/>
          <w:color w:val="3366FF"/>
        </w:rPr>
        <w:t xml:space="preserve">  </w:t>
      </w:r>
      <w:hyperlink r:id="rId6" w:history="1">
        <w:r w:rsidRPr="00DC7AB9">
          <w:rPr>
            <w:rStyle w:val="Hypertextovodkaz"/>
            <w:i/>
          </w:rPr>
          <w:t>www.trivispraha.cz</w:t>
        </w:r>
      </w:hyperlink>
      <w:r>
        <w:rPr>
          <w:i/>
          <w:color w:val="3366FF"/>
        </w:rPr>
        <w:t>,  e-mail: praha@trivis.cz</w:t>
      </w:r>
      <w:r w:rsidRPr="006E3F30">
        <w:rPr>
          <w:b/>
          <w:i/>
          <w:color w:val="3366FF"/>
        </w:rPr>
        <w:tab/>
      </w:r>
      <w:r>
        <w:rPr>
          <w:b/>
          <w:i/>
          <w:color w:val="3366FF"/>
        </w:rPr>
        <w:t xml:space="preserve">              </w:t>
      </w:r>
      <w:r w:rsidRPr="006E3F30">
        <w:rPr>
          <w:b/>
          <w:i/>
          <w:color w:val="3366FF"/>
        </w:rPr>
        <w:t xml:space="preserve"> </w:t>
      </w:r>
      <w:r w:rsidRPr="006E3F30">
        <w:rPr>
          <w:i/>
          <w:color w:val="3366FF"/>
        </w:rPr>
        <w:t>IČO 25109138</w:t>
      </w:r>
    </w:p>
    <w:p w:rsidR="006E14D7" w:rsidRPr="0064159A" w:rsidRDefault="006E14D7" w:rsidP="006E14D7">
      <w:pPr>
        <w:pStyle w:val="Nadpis1"/>
        <w:rPr>
          <w:b/>
          <w:sz w:val="16"/>
        </w:rPr>
      </w:pPr>
    </w:p>
    <w:p w:rsidR="00F13FD3" w:rsidRDefault="00E051A6" w:rsidP="0087171D">
      <w:pPr>
        <w:jc w:val="center"/>
        <w:rPr>
          <w:rFonts w:asciiTheme="majorHAnsi" w:eastAsiaTheme="majorEastAsia" w:hAnsiTheme="majorHAnsi" w:cstheme="majorBidi"/>
          <w:b/>
          <w:color w:val="0070C0"/>
          <w:spacing w:val="-10"/>
          <w:kern w:val="28"/>
          <w:sz w:val="48"/>
          <w:szCs w:val="56"/>
          <w:u w:val="single"/>
        </w:rPr>
      </w:pPr>
      <w:r w:rsidRPr="00E051A6">
        <w:rPr>
          <w:rFonts w:asciiTheme="majorHAnsi" w:eastAsiaTheme="majorEastAsia" w:hAnsiTheme="majorHAnsi" w:cstheme="majorBidi"/>
          <w:b/>
          <w:color w:val="0070C0"/>
          <w:spacing w:val="-10"/>
          <w:kern w:val="28"/>
          <w:sz w:val="48"/>
          <w:szCs w:val="56"/>
          <w:u w:val="single"/>
        </w:rPr>
        <w:t xml:space="preserve">Kritéria hodnocení </w:t>
      </w:r>
      <w:r w:rsidR="00F13FD3">
        <w:rPr>
          <w:rFonts w:asciiTheme="majorHAnsi" w:eastAsiaTheme="majorEastAsia" w:hAnsiTheme="majorHAnsi" w:cstheme="majorBidi"/>
          <w:b/>
          <w:color w:val="0070C0"/>
          <w:spacing w:val="-10"/>
          <w:kern w:val="28"/>
          <w:sz w:val="48"/>
          <w:szCs w:val="56"/>
          <w:u w:val="single"/>
        </w:rPr>
        <w:t xml:space="preserve">profilové maturitní </w:t>
      </w:r>
      <w:r w:rsidRPr="00E051A6">
        <w:rPr>
          <w:rFonts w:asciiTheme="majorHAnsi" w:eastAsiaTheme="majorEastAsia" w:hAnsiTheme="majorHAnsi" w:cstheme="majorBidi"/>
          <w:b/>
          <w:color w:val="0070C0"/>
          <w:spacing w:val="-10"/>
          <w:kern w:val="28"/>
          <w:sz w:val="48"/>
          <w:szCs w:val="56"/>
          <w:u w:val="single"/>
        </w:rPr>
        <w:t xml:space="preserve">zkoušky </w:t>
      </w:r>
    </w:p>
    <w:p w:rsidR="00E051A6" w:rsidRPr="00E051A6" w:rsidRDefault="00F13FD3" w:rsidP="0087171D">
      <w:pPr>
        <w:jc w:val="center"/>
        <w:rPr>
          <w:rFonts w:asciiTheme="majorHAnsi" w:eastAsiaTheme="majorEastAsia" w:hAnsiTheme="majorHAnsi" w:cstheme="majorBidi"/>
          <w:b/>
          <w:color w:val="0070C0"/>
          <w:spacing w:val="-10"/>
          <w:kern w:val="28"/>
          <w:sz w:val="48"/>
          <w:szCs w:val="56"/>
          <w:u w:val="single"/>
        </w:rPr>
      </w:pPr>
      <w:r>
        <w:rPr>
          <w:rFonts w:asciiTheme="majorHAnsi" w:eastAsiaTheme="majorEastAsia" w:hAnsiTheme="majorHAnsi" w:cstheme="majorBidi"/>
          <w:b/>
          <w:color w:val="0070C0"/>
          <w:spacing w:val="-10"/>
          <w:kern w:val="28"/>
          <w:sz w:val="48"/>
          <w:szCs w:val="56"/>
          <w:u w:val="single"/>
        </w:rPr>
        <w:t xml:space="preserve">z předmětu </w:t>
      </w:r>
      <w:r w:rsidR="00F3311D">
        <w:rPr>
          <w:rFonts w:asciiTheme="majorHAnsi" w:eastAsiaTheme="majorEastAsia" w:hAnsiTheme="majorHAnsi" w:cstheme="majorBidi"/>
          <w:b/>
          <w:color w:val="0070C0"/>
          <w:spacing w:val="-10"/>
          <w:kern w:val="28"/>
          <w:sz w:val="48"/>
          <w:szCs w:val="56"/>
          <w:u w:val="single"/>
        </w:rPr>
        <w:t>Integrovaný záchranný systém</w:t>
      </w:r>
      <w:r w:rsidR="00E051A6" w:rsidRPr="00E051A6">
        <w:rPr>
          <w:rFonts w:asciiTheme="majorHAnsi" w:eastAsiaTheme="majorEastAsia" w:hAnsiTheme="majorHAnsi" w:cstheme="majorBidi"/>
          <w:b/>
          <w:color w:val="0070C0"/>
          <w:spacing w:val="-10"/>
          <w:kern w:val="28"/>
          <w:sz w:val="48"/>
          <w:szCs w:val="56"/>
          <w:u w:val="single"/>
        </w:rPr>
        <w:t xml:space="preserve"> </w:t>
      </w:r>
      <w:r w:rsidR="00265415">
        <w:rPr>
          <w:rFonts w:asciiTheme="majorHAnsi" w:eastAsiaTheme="majorEastAsia" w:hAnsiTheme="majorHAnsi" w:cstheme="majorBidi"/>
          <w:b/>
          <w:color w:val="0070C0"/>
          <w:spacing w:val="-10"/>
          <w:kern w:val="28"/>
          <w:sz w:val="48"/>
          <w:szCs w:val="56"/>
          <w:u w:val="single"/>
        </w:rPr>
        <w:t xml:space="preserve"> - ústní část</w:t>
      </w:r>
    </w:p>
    <w:p w:rsidR="0087171D" w:rsidRPr="00E051A6" w:rsidRDefault="00C81141" w:rsidP="0087171D">
      <w:pPr>
        <w:jc w:val="center"/>
        <w:rPr>
          <w:b/>
        </w:rPr>
      </w:pPr>
      <w:r>
        <w:rPr>
          <w:b/>
        </w:rPr>
        <w:t>školní rok 2026/27</w:t>
      </w:r>
    </w:p>
    <w:p w:rsidR="006E14D7" w:rsidRPr="0064159A" w:rsidRDefault="006E14D7" w:rsidP="00824B74">
      <w:pPr>
        <w:rPr>
          <w:b/>
          <w:sz w:val="18"/>
        </w:rPr>
      </w:pPr>
    </w:p>
    <w:p w:rsidR="006E67BF" w:rsidRDefault="006E67BF" w:rsidP="006E67BF">
      <w:pPr>
        <w:spacing w:after="98"/>
      </w:pPr>
      <w:r>
        <w:rPr>
          <w:rFonts w:ascii="Arial" w:eastAsia="Arial" w:hAnsi="Arial" w:cs="Arial"/>
          <w:b/>
          <w:u w:val="single" w:color="000000"/>
        </w:rPr>
        <w:t>KRITERIA KLASIFIKACE</w:t>
      </w:r>
      <w:r>
        <w:rPr>
          <w:rFonts w:ascii="Arial" w:eastAsia="Arial" w:hAnsi="Arial" w:cs="Arial"/>
          <w:b/>
        </w:rPr>
        <w:t xml:space="preserve">:  </w:t>
      </w:r>
    </w:p>
    <w:p w:rsidR="006E67BF" w:rsidRDefault="006E67BF" w:rsidP="006E67BF">
      <w:pPr>
        <w:spacing w:after="133"/>
      </w:pPr>
      <w:r>
        <w:rPr>
          <w:rFonts w:ascii="Arial" w:eastAsia="Arial" w:hAnsi="Arial" w:cs="Arial"/>
          <w:b/>
        </w:rPr>
        <w:t xml:space="preserve"> </w:t>
      </w:r>
      <w:r>
        <w:t xml:space="preserve">Při hodnocení výstupů ústní maturitní zkoušky je kladen důraz na následující kritéria: </w:t>
      </w:r>
    </w:p>
    <w:p w:rsidR="006E67BF" w:rsidRDefault="006E67BF" w:rsidP="006E67BF">
      <w:pPr>
        <w:numPr>
          <w:ilvl w:val="0"/>
          <w:numId w:val="8"/>
        </w:numPr>
        <w:spacing w:after="53" w:line="409" w:lineRule="auto"/>
        <w:ind w:hanging="360"/>
        <w:jc w:val="both"/>
      </w:pPr>
      <w:r>
        <w:rPr>
          <w:rFonts w:ascii="Arial" w:eastAsia="Arial" w:hAnsi="Arial" w:cs="Arial"/>
          <w:b/>
          <w:sz w:val="24"/>
        </w:rPr>
        <w:t>70%</w:t>
      </w:r>
      <w:r>
        <w:t xml:space="preserve"> - správná orientace v zákoně č. 239/2000 Sb., o IZS, zákoně č. 240/2000 Sb. o KŘ, zákoně č. 110/1998 Sb. o bezpečnosti ČR, zákoně č. 320/2015 Sb. o HZS ČR. Znalost  jednotlivých §§ ustanovení. Schopnost jejich správné interpretace v odborné terminologii,  </w:t>
      </w:r>
    </w:p>
    <w:p w:rsidR="006E67BF" w:rsidRDefault="006E67BF" w:rsidP="006E67BF">
      <w:pPr>
        <w:numPr>
          <w:ilvl w:val="0"/>
          <w:numId w:val="8"/>
        </w:numPr>
        <w:spacing w:after="65" w:line="387" w:lineRule="auto"/>
        <w:ind w:hanging="360"/>
        <w:jc w:val="both"/>
      </w:pPr>
      <w:r>
        <w:rPr>
          <w:rFonts w:ascii="Arial" w:eastAsia="Arial" w:hAnsi="Arial" w:cs="Arial"/>
          <w:b/>
          <w:sz w:val="24"/>
        </w:rPr>
        <w:t xml:space="preserve">20% </w:t>
      </w:r>
      <w:r>
        <w:t xml:space="preserve">- orientace v příslušných zákonech týkajících se IZS a schopnost nalézat jejich logické interakce, </w:t>
      </w:r>
    </w:p>
    <w:p w:rsidR="006E67BF" w:rsidRDefault="006E67BF" w:rsidP="006E67BF">
      <w:pPr>
        <w:numPr>
          <w:ilvl w:val="0"/>
          <w:numId w:val="8"/>
        </w:numPr>
        <w:spacing w:after="125"/>
        <w:ind w:hanging="360"/>
        <w:jc w:val="both"/>
      </w:pPr>
      <w:r>
        <w:rPr>
          <w:rFonts w:ascii="Arial" w:eastAsia="Arial" w:hAnsi="Arial" w:cs="Arial"/>
          <w:b/>
          <w:sz w:val="24"/>
        </w:rPr>
        <w:t xml:space="preserve">10% </w:t>
      </w:r>
      <w:r>
        <w:t xml:space="preserve">- schopnost správného uvedení názorných příkladů. </w:t>
      </w:r>
    </w:p>
    <w:p w:rsidR="006E67BF" w:rsidRDefault="006E67BF" w:rsidP="006E67BF">
      <w:pPr>
        <w:pStyle w:val="Nadpis1"/>
      </w:pPr>
      <w:r>
        <w:t>_________________________________________________________________</w:t>
      </w:r>
      <w:r>
        <w:rPr>
          <w:rFonts w:ascii="Arial" w:eastAsia="Arial" w:hAnsi="Arial" w:cs="Arial"/>
          <w:b/>
        </w:rPr>
        <w:t xml:space="preserve"> </w:t>
      </w:r>
    </w:p>
    <w:p w:rsidR="006E67BF" w:rsidRDefault="006E67BF" w:rsidP="006E67BF">
      <w:pPr>
        <w:spacing w:after="129"/>
      </w:pPr>
      <w:r>
        <w:t xml:space="preserve"> </w:t>
      </w:r>
    </w:p>
    <w:p w:rsidR="006E67BF" w:rsidRDefault="006E67BF" w:rsidP="006E67BF">
      <w:pPr>
        <w:pStyle w:val="Nadpis2"/>
        <w:ind w:left="-5"/>
      </w:pPr>
      <w:r>
        <w:t xml:space="preserve">stupeň 1 – výborný  </w:t>
      </w:r>
    </w:p>
    <w:p w:rsidR="006E67BF" w:rsidRDefault="006E67BF" w:rsidP="006E67BF">
      <w:pPr>
        <w:ind w:left="-5"/>
      </w:pPr>
      <w:r>
        <w:t xml:space="preserve">Student se v zadaných otázkách rychle a správně orientuje. Získané poznatky a dovednosti z problematiky bezpečnostních činností plně aplikuje do odpovědí na zadané otázky zcela správně nebo jen s minimálními nepřesnostmi. Ústní projev je plynulý, logicky správný a výstižný. Student je schopen odpovídat zcela samostatně a aktivně. Odpovědi na doplňující otázky umí logicky zdůvodnit a získané vědomosti dokáže aplikovat do praktického příkladu. </w:t>
      </w:r>
    </w:p>
    <w:p w:rsidR="006E67BF" w:rsidRDefault="006E67BF" w:rsidP="006E67BF">
      <w:pPr>
        <w:spacing w:after="101"/>
      </w:pPr>
      <w:r>
        <w:rPr>
          <w:rFonts w:ascii="Arial" w:eastAsia="Arial" w:hAnsi="Arial" w:cs="Arial"/>
          <w:b/>
        </w:rPr>
        <w:t xml:space="preserve"> </w:t>
      </w:r>
      <w:r>
        <w:t xml:space="preserve"> </w:t>
      </w:r>
    </w:p>
    <w:p w:rsidR="006E67BF" w:rsidRDefault="006E67BF" w:rsidP="006E67BF">
      <w:pPr>
        <w:pStyle w:val="Nadpis2"/>
        <w:ind w:left="-5"/>
      </w:pPr>
      <w:r>
        <w:t xml:space="preserve">stupeň 2 – chvalitebný  </w:t>
      </w:r>
    </w:p>
    <w:p w:rsidR="006E67BF" w:rsidRDefault="006E67BF" w:rsidP="006E67BF">
      <w:pPr>
        <w:ind w:left="-5"/>
      </w:pPr>
      <w:r>
        <w:t xml:space="preserve">Student  se v zadaných otázkách orientuje správně. Získané poznatky a dovednosti z problematiky bezpečnostních činností aplikuje v odpovědích s menšími chybami. V ústním a písemném projevu se projevují drobné nedostatky ve správnosti a přesnosti, které je žák je však schopen odstranit po předběžném návodu učitele a dokáže uvést praktické příklady. Danou problematiku však chápe v širších souvislostech. </w:t>
      </w:r>
    </w:p>
    <w:p w:rsidR="006E67BF" w:rsidRDefault="006E67BF" w:rsidP="006E67BF">
      <w:pPr>
        <w:spacing w:after="129"/>
      </w:pPr>
      <w:r>
        <w:t xml:space="preserve"> </w:t>
      </w:r>
    </w:p>
    <w:p w:rsidR="006E67BF" w:rsidRDefault="006E67BF" w:rsidP="006E67BF">
      <w:pPr>
        <w:pStyle w:val="Nadpis2"/>
        <w:ind w:left="-5"/>
      </w:pPr>
      <w:r>
        <w:t xml:space="preserve">stupeň 3 – dobrý  </w:t>
      </w:r>
    </w:p>
    <w:p w:rsidR="006E67BF" w:rsidRDefault="006E67BF" w:rsidP="006E67BF">
      <w:pPr>
        <w:ind w:left="-5"/>
      </w:pPr>
      <w:r>
        <w:t xml:space="preserve">Student má problém s orientací v zadaných otázkách. Má závažné mezery v přesnosti a úplnosti interpretovat poznatky a dovednosti z problematiky bezpečnostních činností. Není schopen bez pomoci učitele plně aplikovat své vědomosti. Jeho samostatný ústní a písemný projev je málo rozvinutý a postrádá logickou souslednost. Doplňující otázky zodpoví neúplně, nedokáže dostatečně obhájit své vědomosti. S pomocí učitele je schopen odvodit praktické příklady. </w:t>
      </w:r>
    </w:p>
    <w:p w:rsidR="006E67BF" w:rsidRDefault="006E67BF" w:rsidP="006E67BF">
      <w:pPr>
        <w:spacing w:after="96"/>
      </w:pPr>
      <w:r>
        <w:lastRenderedPageBreak/>
        <w:t xml:space="preserve"> </w:t>
      </w:r>
    </w:p>
    <w:p w:rsidR="006E67BF" w:rsidRDefault="006E67BF" w:rsidP="006E67BF">
      <w:pPr>
        <w:pStyle w:val="Nadpis2"/>
        <w:ind w:left="-5"/>
      </w:pPr>
      <w:r>
        <w:t xml:space="preserve">stupeň 4 – dostatečný  </w:t>
      </w:r>
    </w:p>
    <w:p w:rsidR="006E67BF" w:rsidRDefault="006E67BF" w:rsidP="006E67BF">
      <w:pPr>
        <w:ind w:left="-5"/>
      </w:pPr>
      <w:r>
        <w:t xml:space="preserve">Student se bez pomoci učitele není schopen sám správně orientovat v zadaných otázkách. V přesnosti a úplnosti požadovaných výstupů z problematiky bezpečnostních činností má četné a závažné mezery. Své vědomosti dokáže uplatnit velmi omezeně a jen za stálé pomoci učitele. Jeho ústní a písemný projev je nerozvinutý, bez logické souslednosti. Na doplňující otázky reaguje s problémy, vyhýbá se přímým odpovědím, unikají mu souvislosti v dané problematice.  </w:t>
      </w:r>
    </w:p>
    <w:p w:rsidR="006E67BF" w:rsidRDefault="006E67BF" w:rsidP="006E67BF">
      <w:pPr>
        <w:spacing w:after="129"/>
      </w:pPr>
      <w:r>
        <w:t xml:space="preserve"> </w:t>
      </w:r>
    </w:p>
    <w:p w:rsidR="006E67BF" w:rsidRDefault="006E67BF" w:rsidP="006E67BF">
      <w:pPr>
        <w:pStyle w:val="Nadpis2"/>
        <w:ind w:left="-5"/>
      </w:pPr>
      <w:r>
        <w:t xml:space="preserve">stupeň 5 – nedostatečný  </w:t>
      </w:r>
    </w:p>
    <w:p w:rsidR="006E67BF" w:rsidRDefault="006E67BF" w:rsidP="006E67BF">
      <w:pPr>
        <w:ind w:left="-5"/>
      </w:pPr>
      <w:r>
        <w:t xml:space="preserve">Student se v otázkách orientuje zcela nesprávně, nechápe je a není schopen najít souvislosti s poznatky, které by měl z problematiky bezpečnostních činností ovládat. Postrádá znalost základních poznatků z problematiky bezpečnostních činností. Neví jak otázky zodpovědět a případný výstup je nelogický a nesmyslný, případně obsahuje informace nesouvisející se zadáním. </w:t>
      </w:r>
    </w:p>
    <w:p w:rsidR="006E67BF" w:rsidRDefault="006E67BF" w:rsidP="006E67BF">
      <w:pPr>
        <w:spacing w:after="98"/>
      </w:pPr>
      <w:r>
        <w:t xml:space="preserve"> </w:t>
      </w:r>
    </w:p>
    <w:p w:rsidR="00F13FD3" w:rsidRDefault="00F13FD3" w:rsidP="00F13FD3">
      <w:pPr>
        <w:spacing w:after="98"/>
      </w:pPr>
      <w:r>
        <w:t xml:space="preserve"> </w:t>
      </w:r>
    </w:p>
    <w:p w:rsidR="006E14D7" w:rsidRPr="002712C2" w:rsidRDefault="006E14D7" w:rsidP="006E14D7">
      <w:pPr>
        <w:jc w:val="both"/>
      </w:pPr>
    </w:p>
    <w:p w:rsidR="006E14D7" w:rsidRDefault="00F13FD3" w:rsidP="006E14D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Zpracoval k</w:t>
      </w:r>
      <w:r w:rsidR="00C81141">
        <w:rPr>
          <w:rFonts w:ascii="Times New Roman" w:hAnsi="Times New Roman" w:cs="Times New Roman"/>
        </w:rPr>
        <w:t> </w:t>
      </w:r>
      <w:proofErr w:type="gramStart"/>
      <w:r w:rsidR="00C81141">
        <w:rPr>
          <w:rFonts w:ascii="Times New Roman" w:hAnsi="Times New Roman" w:cs="Times New Roman"/>
        </w:rPr>
        <w:t>1.9.2026</w:t>
      </w:r>
      <w:proofErr w:type="gramEnd"/>
      <w:r w:rsidR="006E14D7">
        <w:rPr>
          <w:rFonts w:ascii="Times New Roman" w:hAnsi="Times New Roman" w:cs="Times New Roman"/>
        </w:rPr>
        <w:t xml:space="preserve"> </w:t>
      </w:r>
      <w:r w:rsidR="006E14D7">
        <w:rPr>
          <w:rFonts w:ascii="Times New Roman" w:hAnsi="Times New Roman" w:cs="Times New Roman"/>
        </w:rPr>
        <w:tab/>
      </w:r>
      <w:r w:rsidR="006E14D7">
        <w:rPr>
          <w:rFonts w:ascii="Times New Roman" w:hAnsi="Times New Roman" w:cs="Times New Roman"/>
        </w:rPr>
        <w:tab/>
      </w:r>
      <w:r w:rsidR="006E14D7">
        <w:rPr>
          <w:rFonts w:ascii="Times New Roman" w:hAnsi="Times New Roman" w:cs="Times New Roman"/>
        </w:rPr>
        <w:tab/>
      </w:r>
      <w:r w:rsidR="006E14D7">
        <w:rPr>
          <w:rFonts w:ascii="Times New Roman" w:hAnsi="Times New Roman" w:cs="Times New Roman"/>
        </w:rPr>
        <w:tab/>
      </w:r>
      <w:r w:rsidR="00C81141">
        <w:rPr>
          <w:rFonts w:ascii="Times New Roman" w:hAnsi="Times New Roman" w:cs="Times New Roman"/>
        </w:rPr>
        <w:t xml:space="preserve">               </w:t>
      </w:r>
      <w:bookmarkStart w:id="0" w:name="_GoBack"/>
      <w:bookmarkEnd w:id="0"/>
      <w:r>
        <w:rPr>
          <w:rFonts w:ascii="Times New Roman" w:hAnsi="Times New Roman" w:cs="Times New Roman"/>
        </w:rPr>
        <w:tab/>
      </w:r>
      <w:r w:rsidR="006E67BF">
        <w:rPr>
          <w:rFonts w:ascii="Times New Roman" w:hAnsi="Times New Roman" w:cs="Times New Roman"/>
        </w:rPr>
        <w:t xml:space="preserve"> </w:t>
      </w:r>
      <w:r w:rsidR="006E14D7">
        <w:rPr>
          <w:rFonts w:ascii="Times New Roman" w:hAnsi="Times New Roman" w:cs="Times New Roman"/>
        </w:rPr>
        <w:t xml:space="preserve">Ředitel: SŠV a VOŠ </w:t>
      </w:r>
      <w:proofErr w:type="spellStart"/>
      <w:r w:rsidR="006E14D7">
        <w:rPr>
          <w:rFonts w:ascii="Times New Roman" w:hAnsi="Times New Roman" w:cs="Times New Roman"/>
        </w:rPr>
        <w:t>Trivis</w:t>
      </w:r>
      <w:proofErr w:type="spellEnd"/>
      <w:r w:rsidR="006E14D7">
        <w:rPr>
          <w:rFonts w:ascii="Times New Roman" w:hAnsi="Times New Roman" w:cs="Times New Roman"/>
        </w:rPr>
        <w:t xml:space="preserve"> Praha</w:t>
      </w:r>
    </w:p>
    <w:p w:rsidR="002712C2" w:rsidRDefault="006E67BF" w:rsidP="006E14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335"/>
        </w:tabs>
        <w:spacing w:after="0"/>
      </w:pPr>
      <w:r>
        <w:rPr>
          <w:rFonts w:ascii="Times New Roman" w:hAnsi="Times New Roman" w:cs="Times New Roman"/>
        </w:rPr>
        <w:t>PhDr. Miloslav Čech, MBA</w:t>
      </w:r>
      <w:r w:rsidR="006E14D7">
        <w:rPr>
          <w:rFonts w:ascii="Times New Roman" w:hAnsi="Times New Roman" w:cs="Times New Roman"/>
        </w:rPr>
        <w:tab/>
      </w:r>
      <w:r w:rsidR="006E14D7">
        <w:rPr>
          <w:rFonts w:ascii="Times New Roman" w:hAnsi="Times New Roman" w:cs="Times New Roman"/>
        </w:rPr>
        <w:tab/>
      </w:r>
      <w:r w:rsidR="006E14D7">
        <w:rPr>
          <w:rFonts w:ascii="Times New Roman" w:hAnsi="Times New Roman" w:cs="Times New Roman"/>
        </w:rPr>
        <w:tab/>
      </w:r>
      <w:r w:rsidR="006E14D7">
        <w:rPr>
          <w:rFonts w:ascii="Times New Roman" w:hAnsi="Times New Roman" w:cs="Times New Roman"/>
        </w:rPr>
        <w:tab/>
      </w:r>
      <w:r w:rsidR="006E14D7">
        <w:rPr>
          <w:rFonts w:ascii="Times New Roman" w:hAnsi="Times New Roman" w:cs="Times New Roman"/>
        </w:rPr>
        <w:tab/>
      </w:r>
      <w:r w:rsidR="006E14D7" w:rsidRPr="00B7659B">
        <w:rPr>
          <w:rFonts w:ascii="Times New Roman" w:hAnsi="Times New Roman" w:cs="Times New Roman"/>
        </w:rPr>
        <w:t xml:space="preserve">PaedDr. </w:t>
      </w:r>
      <w:proofErr w:type="gramStart"/>
      <w:r w:rsidR="006E14D7" w:rsidRPr="00B7659B">
        <w:rPr>
          <w:rFonts w:ascii="Times New Roman" w:hAnsi="Times New Roman" w:cs="Times New Roman"/>
        </w:rPr>
        <w:t>et</w:t>
      </w:r>
      <w:proofErr w:type="gramEnd"/>
      <w:r w:rsidR="006E14D7" w:rsidRPr="00B7659B">
        <w:rPr>
          <w:rFonts w:ascii="Times New Roman" w:hAnsi="Times New Roman" w:cs="Times New Roman"/>
        </w:rPr>
        <w:t xml:space="preserve"> Mgr. et Bc. Jan Dalecký, MBA</w:t>
      </w:r>
    </w:p>
    <w:sectPr w:rsidR="002712C2" w:rsidSect="006E14D7">
      <w:pgSz w:w="11906" w:h="16838"/>
      <w:pgMar w:top="624" w:right="720" w:bottom="62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92810"/>
    <w:multiLevelType w:val="hybridMultilevel"/>
    <w:tmpl w:val="4BD0BA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64036"/>
    <w:multiLevelType w:val="hybridMultilevel"/>
    <w:tmpl w:val="587CFC68"/>
    <w:lvl w:ilvl="0" w:tplc="C1BAA896">
      <w:start w:val="1"/>
      <w:numFmt w:val="decimal"/>
      <w:lvlText w:val="%1"/>
      <w:lvlJc w:val="left"/>
      <w:pPr>
        <w:ind w:left="16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FEDA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5403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28AB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A09A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1CE1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1060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8EE4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DE99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4F81B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09917A8"/>
    <w:multiLevelType w:val="multilevel"/>
    <w:tmpl w:val="633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EA5A01"/>
    <w:multiLevelType w:val="hybridMultilevel"/>
    <w:tmpl w:val="4760AA00"/>
    <w:lvl w:ilvl="0" w:tplc="5CCA0DFA">
      <w:start w:val="1"/>
      <w:numFmt w:val="decimal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232A4B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128DDC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40416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50108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75C4B1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7894E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CCE36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02445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2440DD"/>
    <w:multiLevelType w:val="hybridMultilevel"/>
    <w:tmpl w:val="364693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03848"/>
    <w:multiLevelType w:val="multilevel"/>
    <w:tmpl w:val="DF5C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CD1367"/>
    <w:multiLevelType w:val="multilevel"/>
    <w:tmpl w:val="13B4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DF3F0C"/>
    <w:multiLevelType w:val="hybridMultilevel"/>
    <w:tmpl w:val="BCD4BC28"/>
    <w:lvl w:ilvl="0" w:tplc="FFD08A38">
      <w:start w:val="1"/>
      <w:numFmt w:val="decimal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65E2AC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B06DC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AAA773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010E76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5DACC4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70FF0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46673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007FD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B74"/>
    <w:rsid w:val="000D2A17"/>
    <w:rsid w:val="00265415"/>
    <w:rsid w:val="002712C2"/>
    <w:rsid w:val="00524D5C"/>
    <w:rsid w:val="0064159A"/>
    <w:rsid w:val="006E14D7"/>
    <w:rsid w:val="006E67BF"/>
    <w:rsid w:val="00824B74"/>
    <w:rsid w:val="0087171D"/>
    <w:rsid w:val="00953E6A"/>
    <w:rsid w:val="00A65601"/>
    <w:rsid w:val="00C81141"/>
    <w:rsid w:val="00C83365"/>
    <w:rsid w:val="00E051A6"/>
    <w:rsid w:val="00EC3857"/>
    <w:rsid w:val="00F13FD3"/>
    <w:rsid w:val="00F3311D"/>
    <w:rsid w:val="00F6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8D8FD"/>
  <w15:chartTrackingRefBased/>
  <w15:docId w15:val="{394705EC-DB86-4DED-9C31-9FB9E3EB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1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13F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824B7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6662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6E14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E14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E1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13FD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ivispraha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2992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Konickova, Marta</dc:creator>
  <cp:keywords/>
  <dc:description/>
  <cp:lastModifiedBy>Cech, Miloslav</cp:lastModifiedBy>
  <cp:revision>6</cp:revision>
  <dcterms:created xsi:type="dcterms:W3CDTF">2023-10-04T10:33:00Z</dcterms:created>
  <dcterms:modified xsi:type="dcterms:W3CDTF">2026-09-21T05:47:00Z</dcterms:modified>
</cp:coreProperties>
</file>